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49C484E7" wp14:editId="132B7ECB">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4E593A">
              <w:rPr>
                <w:b/>
                <w:color w:val="1F497D" w:themeColor="text2"/>
              </w:rPr>
              <w:t>: January 8, 2014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2243F2">
              <w:rPr>
                <w:b/>
                <w:color w:val="1F497D" w:themeColor="text2"/>
              </w:rPr>
              <w:t>2:00-4</w:t>
            </w:r>
            <w:r w:rsidR="001A7200" w:rsidRPr="009F2BD1">
              <w:rPr>
                <w:b/>
                <w:color w:val="1F497D" w:themeColor="text2"/>
              </w:rPr>
              <w:t>:00pm</w:t>
            </w:r>
          </w:p>
          <w:p w:rsidR="00CB3767" w:rsidRPr="009F2BD1" w:rsidRDefault="00DA4F5E" w:rsidP="00F20B0A">
            <w:pPr>
              <w:rPr>
                <w:b/>
                <w:color w:val="548DD4" w:themeColor="text2" w:themeTint="99"/>
              </w:rPr>
            </w:pPr>
            <w:r w:rsidRPr="009F2BD1">
              <w:rPr>
                <w:b/>
                <w:color w:val="1F497D" w:themeColor="text2"/>
              </w:rPr>
              <w:t>Location</w:t>
            </w:r>
            <w:r w:rsidR="00EC2CBE">
              <w:rPr>
                <w:b/>
                <w:color w:val="1F497D" w:themeColor="text2"/>
              </w:rPr>
              <w:t xml:space="preserve">: </w:t>
            </w:r>
            <w:r w:rsidR="00F20B0A">
              <w:rPr>
                <w:b/>
                <w:color w:val="1F497D" w:themeColor="text2"/>
              </w:rPr>
              <w:t>MaineGeneral Health, Alfond Center for Health, Augusta &amp; Beacon EMHS Brewer Office</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0" w:history="1">
        <w:r w:rsidRPr="003B3A33">
          <w:rPr>
            <w:rStyle w:val="Hyperlink"/>
            <w:rFonts w:cstheme="minorHAnsi"/>
          </w:rPr>
          <w:t>ksendze@hinfonet.org</w:t>
        </w:r>
      </w:hyperlink>
      <w:r w:rsidR="00EC2CBE">
        <w:rPr>
          <w:rFonts w:cstheme="minorHAnsi"/>
          <w:b/>
        </w:rPr>
        <w:t xml:space="preserve">, HIN Staff: </w:t>
      </w:r>
      <w:r w:rsidR="004E593A" w:rsidRPr="004E593A">
        <w:rPr>
          <w:rFonts w:cstheme="minorHAnsi"/>
        </w:rPr>
        <w:t>Shaun Alfreds,</w:t>
      </w:r>
      <w:r w:rsidR="004E593A">
        <w:rPr>
          <w:rFonts w:cstheme="minorHAnsi"/>
          <w:b/>
        </w:rPr>
        <w:t xml:space="preserve"> </w:t>
      </w:r>
      <w:r w:rsidR="00EC2CBE">
        <w:rPr>
          <w:rFonts w:cstheme="minorHAnsi"/>
        </w:rPr>
        <w:t>Katelyn Michaud</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123CC3" w:rsidRPr="000557DD">
        <w:rPr>
          <w:rFonts w:cstheme="minorHAnsi"/>
        </w:rPr>
        <w:t xml:space="preserve">Carrie Arseanault </w:t>
      </w:r>
      <w:r w:rsidR="00123CC3">
        <w:rPr>
          <w:rFonts w:cstheme="minorHAnsi"/>
        </w:rPr>
        <w:t xml:space="preserve">, </w:t>
      </w:r>
      <w:r w:rsidR="00123CC3" w:rsidRPr="000557DD">
        <w:rPr>
          <w:rFonts w:cstheme="minorHAnsi"/>
        </w:rPr>
        <w:t xml:space="preserve">Nancy Birkhimer </w:t>
      </w:r>
      <w:r w:rsidR="00123CC3">
        <w:rPr>
          <w:rFonts w:cstheme="minorHAnsi"/>
        </w:rPr>
        <w:t>,</w:t>
      </w:r>
      <w:r w:rsidR="002243F2">
        <w:rPr>
          <w:rFonts w:cstheme="minorHAnsi"/>
        </w:rPr>
        <w:t xml:space="preserve"> </w:t>
      </w:r>
      <w:r w:rsidR="00123CC3" w:rsidRPr="000557DD">
        <w:rPr>
          <w:rFonts w:cstheme="minorHAnsi"/>
        </w:rPr>
        <w:t>Michael DeLorenzo,</w:t>
      </w:r>
      <w:r w:rsidR="00123CC3">
        <w:rPr>
          <w:rFonts w:cstheme="minorHAnsi"/>
        </w:rPr>
        <w:t xml:space="preserve"> </w:t>
      </w:r>
      <w:r w:rsidR="00123CC3" w:rsidRPr="000557DD">
        <w:rPr>
          <w:rFonts w:cstheme="minorHAnsi"/>
        </w:rPr>
        <w:t xml:space="preserve">Bruce Donlin, </w:t>
      </w:r>
      <w:r w:rsidR="005800E4">
        <w:rPr>
          <w:rFonts w:cstheme="minorHAnsi"/>
        </w:rPr>
        <w:t>Dana Dunca</w:t>
      </w:r>
      <w:r w:rsidR="00123CC3" w:rsidRPr="000557DD">
        <w:rPr>
          <w:rFonts w:cstheme="minorHAnsi"/>
        </w:rPr>
        <w:t>n</w:t>
      </w:r>
      <w:r w:rsidR="00123CC3">
        <w:rPr>
          <w:rFonts w:cstheme="minorHAnsi"/>
        </w:rPr>
        <w:t xml:space="preserve">, </w:t>
      </w:r>
      <w:r w:rsidR="004C7326" w:rsidRPr="000557DD">
        <w:rPr>
          <w:rFonts w:cstheme="minorHAnsi"/>
        </w:rPr>
        <w:t>Dawn Gallagher</w:t>
      </w:r>
      <w:r w:rsidR="004C7326">
        <w:rPr>
          <w:rFonts w:cstheme="minorHAnsi"/>
        </w:rPr>
        <w:t xml:space="preserve">, </w:t>
      </w:r>
      <w:r w:rsidR="004C7326" w:rsidRPr="000557DD">
        <w:rPr>
          <w:rFonts w:cstheme="minorHAnsi"/>
        </w:rPr>
        <w:t>Wayne Gregersen</w:t>
      </w:r>
      <w:r w:rsidR="004C7326">
        <w:rPr>
          <w:rFonts w:cstheme="minorHAnsi"/>
        </w:rPr>
        <w:t xml:space="preserve">, </w:t>
      </w:r>
      <w:r w:rsidR="00123CC3" w:rsidRPr="000557DD">
        <w:rPr>
          <w:rFonts w:cstheme="minorHAnsi"/>
        </w:rPr>
        <w:t>Rebecca Gagnon</w:t>
      </w:r>
      <w:r w:rsidR="00123CC3">
        <w:rPr>
          <w:rFonts w:cstheme="minorHAnsi"/>
        </w:rPr>
        <w:t>,</w:t>
      </w:r>
      <w:r w:rsidR="00123CC3" w:rsidRPr="000557DD">
        <w:rPr>
          <w:rFonts w:cstheme="minorHAnsi"/>
        </w:rPr>
        <w:t xml:space="preserve"> </w:t>
      </w:r>
      <w:r w:rsidR="004C7326" w:rsidRPr="000557DD">
        <w:rPr>
          <w:rFonts w:cstheme="minorHAnsi"/>
        </w:rPr>
        <w:t>Holly Harmon</w:t>
      </w:r>
      <w:r w:rsidR="004C7326">
        <w:rPr>
          <w:rFonts w:cstheme="minorHAnsi"/>
        </w:rPr>
        <w:t>,</w:t>
      </w:r>
      <w:r w:rsidR="004C7326" w:rsidRPr="000557DD">
        <w:rPr>
          <w:rFonts w:cstheme="minorHAnsi"/>
        </w:rPr>
        <w:t xml:space="preserve"> </w:t>
      </w:r>
      <w:r w:rsidR="00123CC3" w:rsidRPr="000557DD">
        <w:rPr>
          <w:rFonts w:cstheme="minorHAnsi"/>
        </w:rPr>
        <w:t>Ralph Johnson</w:t>
      </w:r>
      <w:r w:rsidR="00123CC3">
        <w:rPr>
          <w:rFonts w:cstheme="minorHAnsi"/>
        </w:rPr>
        <w:t xml:space="preserve">,  </w:t>
      </w:r>
      <w:r w:rsidR="00BD278D" w:rsidRPr="000557DD">
        <w:rPr>
          <w:rFonts w:cstheme="minorHAnsi"/>
        </w:rPr>
        <w:t xml:space="preserve">Luke Lazure, </w:t>
      </w:r>
      <w:r w:rsidR="005800E4" w:rsidRPr="000557DD">
        <w:rPr>
          <w:rFonts w:cstheme="minorHAnsi"/>
        </w:rPr>
        <w:t xml:space="preserve">Patsy Leavitt, Margaret Longsworth, </w:t>
      </w:r>
      <w:r w:rsidR="004C7326" w:rsidRPr="000557DD">
        <w:rPr>
          <w:rFonts w:cstheme="minorHAnsi"/>
        </w:rPr>
        <w:t>Katherine Pelletreau</w:t>
      </w:r>
      <w:r w:rsidR="004C7326">
        <w:rPr>
          <w:rFonts w:cstheme="minorHAnsi"/>
        </w:rPr>
        <w:t>,</w:t>
      </w:r>
      <w:r w:rsidR="004C7326" w:rsidRPr="000557DD">
        <w:rPr>
          <w:rFonts w:cstheme="minorHAnsi"/>
        </w:rPr>
        <w:t xml:space="preserve"> </w:t>
      </w:r>
      <w:r w:rsidR="00BD278D" w:rsidRPr="000557DD">
        <w:rPr>
          <w:rFonts w:cstheme="minorHAnsi"/>
        </w:rPr>
        <w:t>C</w:t>
      </w:r>
      <w:r w:rsidR="00123CC3">
        <w:rPr>
          <w:rFonts w:cstheme="minorHAnsi"/>
        </w:rPr>
        <w:t xml:space="preserve">huck Pritchard, </w:t>
      </w:r>
      <w:r w:rsidR="005800E4">
        <w:rPr>
          <w:rFonts w:cstheme="minorHAnsi"/>
        </w:rPr>
        <w:t xml:space="preserve"> </w:t>
      </w:r>
      <w:r w:rsidR="0044521E" w:rsidRPr="000557DD">
        <w:rPr>
          <w:rFonts w:cstheme="minorHAnsi"/>
        </w:rPr>
        <w:t>Ann Sullivan</w:t>
      </w:r>
      <w:r w:rsidR="00123CC3">
        <w:rPr>
          <w:rFonts w:cstheme="minorHAnsi"/>
        </w:rPr>
        <w:t>,</w:t>
      </w:r>
    </w:p>
    <w:p w:rsidR="00D26692" w:rsidRDefault="00D26692" w:rsidP="002748B1">
      <w:pPr>
        <w:jc w:val="left"/>
        <w:rPr>
          <w:rFonts w:cstheme="minorHAnsi"/>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p>
    <w:p w:rsidR="00D243A2" w:rsidRDefault="00D243A2" w:rsidP="00B50A92">
      <w:pPr>
        <w:jc w:val="left"/>
        <w:rPr>
          <w:rFonts w:cstheme="minorHAnsi"/>
        </w:rPr>
      </w:pPr>
    </w:p>
    <w:p w:rsidR="0033286A" w:rsidRPr="0033286A" w:rsidRDefault="0033286A" w:rsidP="00B50A92">
      <w:pPr>
        <w:jc w:val="left"/>
        <w:rPr>
          <w:rFonts w:cstheme="minorHAnsi"/>
        </w:rPr>
      </w:pPr>
      <w:r w:rsidRPr="0033286A">
        <w:rPr>
          <w:rFonts w:cstheme="minorHAnsi"/>
          <w:b/>
          <w:u w:val="single"/>
        </w:rPr>
        <w:t>Interested Parties:</w:t>
      </w:r>
      <w:r>
        <w:rPr>
          <w:rFonts w:cstheme="minorHAnsi"/>
          <w:b/>
          <w:u w:val="single"/>
        </w:rPr>
        <w:t xml:space="preserve"> </w:t>
      </w:r>
      <w:r w:rsidR="004C7326" w:rsidRPr="004C7326">
        <w:rPr>
          <w:rFonts w:cstheme="minorHAnsi"/>
        </w:rPr>
        <w:t>Poppy Arford,</w:t>
      </w:r>
      <w:r w:rsidR="00576891">
        <w:rPr>
          <w:rFonts w:cstheme="minorHAnsi"/>
        </w:rPr>
        <w:t xml:space="preserve"> </w:t>
      </w:r>
      <w:r w:rsidR="004C7326" w:rsidRPr="004C7326">
        <w:rPr>
          <w:rFonts w:cstheme="minorHAnsi"/>
        </w:rPr>
        <w:t>Cathy Cobb</w:t>
      </w:r>
      <w:r w:rsidR="004C7326">
        <w:rPr>
          <w:rFonts w:cstheme="minorHAnsi"/>
        </w:rPr>
        <w:t>,</w:t>
      </w:r>
      <w:r w:rsidR="00A70DBF">
        <w:rPr>
          <w:rFonts w:cstheme="minorHAnsi"/>
        </w:rPr>
        <w:t xml:space="preserve"> Jonathan </w:t>
      </w:r>
      <w:r w:rsidR="00576891">
        <w:rPr>
          <w:rFonts w:cstheme="minorHAnsi"/>
        </w:rPr>
        <w:t>Ives, Joanie Klayman, Lydia Richardson</w:t>
      </w:r>
    </w:p>
    <w:p w:rsidR="0033286A" w:rsidRDefault="0033286A" w:rsidP="00B50A92">
      <w:pPr>
        <w:jc w:val="left"/>
        <w:rPr>
          <w:rFonts w:cstheme="minorHAnsi"/>
        </w:rPr>
      </w:pPr>
    </w:p>
    <w:p w:rsidR="00DA4F5E" w:rsidRDefault="00E82E95" w:rsidP="00B57A9B">
      <w:pPr>
        <w:jc w:val="left"/>
        <w:rPr>
          <w:rFonts w:cstheme="minorHAnsi"/>
        </w:r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4C7326">
        <w:rPr>
          <w:rFonts w:cstheme="minorHAnsi"/>
        </w:rPr>
        <w:t xml:space="preserve">Barbara Crowley, </w:t>
      </w:r>
      <w:r w:rsidR="00576891" w:rsidRPr="000557DD">
        <w:rPr>
          <w:rFonts w:cstheme="minorHAnsi"/>
        </w:rPr>
        <w:t>Karynlee Harrington</w:t>
      </w:r>
      <w:r w:rsidR="00576891">
        <w:rPr>
          <w:rFonts w:cstheme="minorHAnsi"/>
        </w:rPr>
        <w:t xml:space="preserve">, </w:t>
      </w:r>
      <w:r w:rsidR="004C7326">
        <w:rPr>
          <w:rFonts w:cstheme="minorHAnsi"/>
        </w:rPr>
        <w:t>Joseph Riddick</w:t>
      </w:r>
    </w:p>
    <w:p w:rsidR="00576891" w:rsidRDefault="00576891" w:rsidP="00B57A9B">
      <w:pPr>
        <w:jc w:val="left"/>
        <w:rPr>
          <w:rFonts w:cstheme="minorHAnsi"/>
        </w:rPr>
      </w:pPr>
    </w:p>
    <w:p w:rsidR="00576891" w:rsidRPr="00F6206F" w:rsidRDefault="00576891" w:rsidP="00B57A9B">
      <w:pPr>
        <w:jc w:val="left"/>
        <w:rPr>
          <w:rFonts w:cstheme="minorHAnsi"/>
        </w:rPr>
        <w:sectPr w:rsidR="00576891" w:rsidRPr="00F6206F" w:rsidSect="00BC2BC9">
          <w:headerReference w:type="default" r:id="rId11"/>
          <w:footerReference w:type="default" r:id="rId12"/>
          <w:pgSz w:w="15840" w:h="12240" w:orient="landscape"/>
          <w:pgMar w:top="432" w:right="432" w:bottom="432" w:left="432" w:header="720" w:footer="720" w:gutter="0"/>
          <w:cols w:space="720"/>
          <w:docGrid w:linePitch="360"/>
        </w:sectPr>
      </w:pPr>
      <w:r w:rsidRPr="00576891">
        <w:rPr>
          <w:rFonts w:cstheme="minorHAnsi"/>
          <w:b/>
          <w:u w:val="single"/>
        </w:rPr>
        <w:t>Guest Speakers:</w:t>
      </w:r>
      <w:r>
        <w:rPr>
          <w:rFonts w:cstheme="minorHAnsi"/>
        </w:rPr>
        <w:t xml:space="preserve"> Frank Johnson (Payment Reform Subcommittee), Lisa Tuttle (Delivery System Reform Subcommittee)</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3"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429"/>
        <w:gridCol w:w="866"/>
        <w:gridCol w:w="9637"/>
        <w:gridCol w:w="1848"/>
      </w:tblGrid>
      <w:tr w:rsidR="009560D6" w:rsidRPr="002F4AEB" w:rsidTr="009560D6">
        <w:tc>
          <w:tcPr>
            <w:tcW w:w="822" w:type="pct"/>
            <w:shd w:val="clear" w:color="auto" w:fill="E5B8B7" w:themeFill="accent2" w:themeFillTint="66"/>
          </w:tcPr>
          <w:p w:rsidR="009560D6" w:rsidRPr="002F4AEB" w:rsidRDefault="009560D6" w:rsidP="00B301CB">
            <w:pPr>
              <w:jc w:val="left"/>
              <w:rPr>
                <w:rFonts w:cstheme="minorHAnsi"/>
                <w:b/>
              </w:rPr>
            </w:pPr>
            <w:r>
              <w:rPr>
                <w:rFonts w:cstheme="minorHAnsi"/>
                <w:b/>
              </w:rPr>
              <w:t>Agenda Item/Related SIM Objective (if applicable)</w:t>
            </w:r>
          </w:p>
        </w:tc>
        <w:tc>
          <w:tcPr>
            <w:tcW w:w="293" w:type="pct"/>
            <w:shd w:val="clear" w:color="auto" w:fill="E5B8B7" w:themeFill="accent2" w:themeFillTint="66"/>
          </w:tcPr>
          <w:p w:rsidR="009560D6" w:rsidRDefault="009560D6" w:rsidP="00B301CB">
            <w:pPr>
              <w:jc w:val="left"/>
              <w:rPr>
                <w:rFonts w:cstheme="minorHAnsi"/>
                <w:b/>
              </w:rPr>
            </w:pPr>
            <w:r>
              <w:rPr>
                <w:rFonts w:cstheme="minorHAnsi"/>
                <w:b/>
              </w:rPr>
              <w:t>Obj. SST ID</w:t>
            </w:r>
          </w:p>
        </w:tc>
        <w:tc>
          <w:tcPr>
            <w:tcW w:w="3260" w:type="pct"/>
            <w:shd w:val="clear" w:color="auto" w:fill="E5B8B7" w:themeFill="accent2" w:themeFillTint="66"/>
          </w:tcPr>
          <w:p w:rsidR="009560D6" w:rsidRPr="002F4AEB" w:rsidRDefault="009560D6" w:rsidP="00B301C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9560D6" w:rsidRPr="002F4AEB" w:rsidRDefault="009560D6" w:rsidP="00B301CB">
            <w:pPr>
              <w:jc w:val="left"/>
              <w:rPr>
                <w:rFonts w:cstheme="minorHAnsi"/>
                <w:b/>
              </w:rPr>
            </w:pPr>
            <w:r w:rsidRPr="002F4AEB">
              <w:rPr>
                <w:rFonts w:cstheme="minorHAnsi"/>
                <w:b/>
              </w:rPr>
              <w:t>Escalation to Steering (y/n)</w:t>
            </w:r>
          </w:p>
        </w:tc>
      </w:tr>
      <w:tr w:rsidR="009560D6" w:rsidRPr="00990D1F" w:rsidTr="009560D6">
        <w:tc>
          <w:tcPr>
            <w:tcW w:w="822" w:type="pct"/>
          </w:tcPr>
          <w:p w:rsidR="009560D6" w:rsidRDefault="009560D6" w:rsidP="00B301CB">
            <w:pPr>
              <w:jc w:val="left"/>
              <w:rPr>
                <w:rFonts w:cstheme="minorHAnsi"/>
                <w:b/>
              </w:rPr>
            </w:pPr>
            <w:r>
              <w:rPr>
                <w:rFonts w:cstheme="minorHAnsi"/>
                <w:b/>
              </w:rPr>
              <w:t>n/a</w:t>
            </w:r>
          </w:p>
        </w:tc>
        <w:tc>
          <w:tcPr>
            <w:tcW w:w="293" w:type="pct"/>
          </w:tcPr>
          <w:p w:rsidR="009560D6" w:rsidRPr="00FA28D7" w:rsidRDefault="009560D6" w:rsidP="00B301CB">
            <w:pPr>
              <w:jc w:val="left"/>
              <w:rPr>
                <w:rFonts w:cstheme="minorHAnsi"/>
              </w:rPr>
            </w:pPr>
            <w:r>
              <w:rPr>
                <w:rFonts w:cstheme="minorHAnsi"/>
              </w:rPr>
              <w:t>n/a</w:t>
            </w:r>
          </w:p>
        </w:tc>
        <w:tc>
          <w:tcPr>
            <w:tcW w:w="3260" w:type="pct"/>
          </w:tcPr>
          <w:p w:rsidR="009560D6" w:rsidRPr="00037EB4" w:rsidRDefault="009560D6" w:rsidP="00B301CB">
            <w:pPr>
              <w:jc w:val="left"/>
              <w:rPr>
                <w:rFonts w:cstheme="minorHAnsi"/>
              </w:rPr>
            </w:pPr>
            <w:r w:rsidRPr="00037EB4">
              <w:rPr>
                <w:rFonts w:cstheme="minorHAnsi"/>
                <w:u w:val="single"/>
              </w:rPr>
              <w:t>Concern</w:t>
            </w:r>
            <w:r w:rsidRPr="00037EB4">
              <w:rPr>
                <w:rFonts w:cstheme="minorHAnsi"/>
              </w:rPr>
              <w:t xml:space="preserve">: As State Legislative actions related to health care reform are discussed and decisions are made, if the SIM initiative is not represented and part of this important work, is there a risk for the state to have diverging work occurring at the same time? The concern/question was raised at the meeting and clarity from the SIM Steering Committee on how SIM Steering interacts or is accountable to interact with the state Legislature would be important to understand. We believe the same question arose in another SIM Subcommittee discussion as well. </w:t>
            </w:r>
          </w:p>
        </w:tc>
        <w:tc>
          <w:tcPr>
            <w:tcW w:w="625" w:type="pct"/>
          </w:tcPr>
          <w:p w:rsidR="009560D6" w:rsidRPr="00037EB4" w:rsidRDefault="009560D6" w:rsidP="00B301CB">
            <w:pPr>
              <w:jc w:val="left"/>
              <w:rPr>
                <w:rFonts w:cstheme="minorHAnsi"/>
                <w:b/>
              </w:rPr>
            </w:pPr>
            <w:r w:rsidRPr="00037EB4">
              <w:rPr>
                <w:rFonts w:cstheme="minorHAnsi"/>
                <w:b/>
              </w:rPr>
              <w:t>Yes</w:t>
            </w:r>
          </w:p>
        </w:tc>
      </w:tr>
      <w:tr w:rsidR="009560D6" w:rsidRPr="00990D1F" w:rsidTr="009560D6">
        <w:trPr>
          <w:tblHeader/>
        </w:trPr>
        <w:tc>
          <w:tcPr>
            <w:tcW w:w="822" w:type="pct"/>
            <w:shd w:val="clear" w:color="auto" w:fill="1F497D" w:themeFill="text2"/>
          </w:tcPr>
          <w:p w:rsidR="009560D6" w:rsidRPr="00990D1F" w:rsidRDefault="009560D6" w:rsidP="00B301C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9560D6" w:rsidRPr="00990D1F" w:rsidRDefault="009560D6" w:rsidP="00B301CB">
            <w:pPr>
              <w:jc w:val="left"/>
              <w:rPr>
                <w:rFonts w:cstheme="minorHAnsi"/>
                <w:b/>
                <w:color w:val="FFFFFF" w:themeColor="background1"/>
              </w:rPr>
            </w:pPr>
          </w:p>
        </w:tc>
        <w:tc>
          <w:tcPr>
            <w:tcW w:w="3885" w:type="pct"/>
            <w:gridSpan w:val="2"/>
            <w:shd w:val="clear" w:color="auto" w:fill="1F497D" w:themeFill="text2"/>
          </w:tcPr>
          <w:p w:rsidR="009560D6" w:rsidRPr="00990D1F" w:rsidRDefault="009560D6" w:rsidP="00B301C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9560D6" w:rsidRPr="00990D1F" w:rsidTr="009560D6">
        <w:tc>
          <w:tcPr>
            <w:tcW w:w="822" w:type="pct"/>
          </w:tcPr>
          <w:p w:rsidR="009560D6" w:rsidRDefault="009560D6" w:rsidP="00B301CB">
            <w:pPr>
              <w:jc w:val="left"/>
              <w:rPr>
                <w:rFonts w:cstheme="minorHAnsi"/>
                <w:b/>
              </w:rPr>
            </w:pPr>
            <w:r>
              <w:rPr>
                <w:rFonts w:cstheme="minorHAnsi"/>
                <w:b/>
              </w:rPr>
              <w:t xml:space="preserve">Agenda &amp;Consent </w:t>
            </w:r>
          </w:p>
        </w:tc>
        <w:tc>
          <w:tcPr>
            <w:tcW w:w="293" w:type="pct"/>
          </w:tcPr>
          <w:p w:rsidR="009560D6" w:rsidRPr="00F454C7" w:rsidRDefault="009560D6" w:rsidP="00B301CB">
            <w:pPr>
              <w:jc w:val="left"/>
              <w:rPr>
                <w:rFonts w:cstheme="minorHAnsi"/>
              </w:rPr>
            </w:pPr>
            <w:r>
              <w:rPr>
                <w:rFonts w:cstheme="minorHAnsi"/>
              </w:rPr>
              <w:t>N/A</w:t>
            </w:r>
          </w:p>
        </w:tc>
        <w:tc>
          <w:tcPr>
            <w:tcW w:w="3885" w:type="pct"/>
            <w:gridSpan w:val="2"/>
          </w:tcPr>
          <w:p w:rsidR="009560D6" w:rsidRPr="00037EB4" w:rsidRDefault="009560D6" w:rsidP="00B301CB">
            <w:pPr>
              <w:jc w:val="left"/>
              <w:rPr>
                <w:rFonts w:cstheme="minorHAnsi"/>
              </w:rPr>
            </w:pPr>
            <w:r w:rsidRPr="00037EB4">
              <w:rPr>
                <w:rFonts w:cstheme="minorHAnsi"/>
              </w:rPr>
              <w:t>12/4/13 minutes were adopted as is, will be posted</w:t>
            </w:r>
          </w:p>
        </w:tc>
      </w:tr>
      <w:tr w:rsidR="009560D6" w:rsidRPr="00990D1F" w:rsidTr="009560D6">
        <w:trPr>
          <w:trHeight w:val="800"/>
        </w:trPr>
        <w:tc>
          <w:tcPr>
            <w:tcW w:w="822" w:type="pct"/>
          </w:tcPr>
          <w:p w:rsidR="009560D6" w:rsidRPr="006B3890" w:rsidRDefault="009560D6" w:rsidP="00B301CB">
            <w:pPr>
              <w:jc w:val="left"/>
              <w:rPr>
                <w:rFonts w:cstheme="minorHAnsi"/>
              </w:rPr>
            </w:pPr>
            <w:r>
              <w:rPr>
                <w:rFonts w:cstheme="minorHAnsi"/>
                <w:b/>
              </w:rPr>
              <w:t>Delivery System Reform Subcommittee Report</w:t>
            </w:r>
          </w:p>
        </w:tc>
        <w:tc>
          <w:tcPr>
            <w:tcW w:w="293" w:type="pct"/>
          </w:tcPr>
          <w:p w:rsidR="009560D6" w:rsidRPr="00F454C7" w:rsidRDefault="009560D6" w:rsidP="00B301CB">
            <w:pPr>
              <w:jc w:val="left"/>
              <w:rPr>
                <w:rFonts w:cstheme="minorHAnsi"/>
              </w:rPr>
            </w:pPr>
            <w:r>
              <w:rPr>
                <w:rFonts w:cstheme="minorHAnsi"/>
              </w:rPr>
              <w:t>N/A</w:t>
            </w:r>
          </w:p>
        </w:tc>
        <w:tc>
          <w:tcPr>
            <w:tcW w:w="3885" w:type="pct"/>
            <w:gridSpan w:val="2"/>
          </w:tcPr>
          <w:p w:rsidR="009560D6" w:rsidRDefault="009560D6" w:rsidP="009560D6">
            <w:pPr>
              <w:pStyle w:val="ListParagraph"/>
              <w:numPr>
                <w:ilvl w:val="0"/>
                <w:numId w:val="26"/>
              </w:numPr>
              <w:jc w:val="left"/>
              <w:rPr>
                <w:rFonts w:cstheme="minorHAnsi"/>
              </w:rPr>
            </w:pPr>
            <w:r>
              <w:rPr>
                <w:rFonts w:cstheme="minorHAnsi"/>
              </w:rPr>
              <w:t>Katie reviewed examples of SIM work that overlaps between DI subcommittee and DSR subcommittee scope of work (Slides present summary overlap).</w:t>
            </w:r>
          </w:p>
          <w:p w:rsidR="009560D6" w:rsidRDefault="009560D6" w:rsidP="00B301CB">
            <w:pPr>
              <w:jc w:val="left"/>
              <w:rPr>
                <w:rFonts w:cstheme="minorHAnsi"/>
              </w:rPr>
            </w:pPr>
          </w:p>
          <w:p w:rsidR="009560D6" w:rsidRPr="00C37005" w:rsidRDefault="009560D6" w:rsidP="00B301CB">
            <w:pPr>
              <w:jc w:val="left"/>
              <w:rPr>
                <w:rFonts w:cstheme="minorHAnsi"/>
              </w:rPr>
            </w:pPr>
            <w:r>
              <w:rPr>
                <w:rFonts w:cstheme="minorHAnsi"/>
              </w:rPr>
              <w:t>Lisa presented and lead some discussion related to the current work underway at the DSR subcommittee as it relates to DIS:</w:t>
            </w:r>
          </w:p>
          <w:p w:rsidR="009560D6" w:rsidRDefault="009560D6" w:rsidP="009560D6">
            <w:pPr>
              <w:pStyle w:val="ListParagraph"/>
              <w:numPr>
                <w:ilvl w:val="0"/>
                <w:numId w:val="26"/>
              </w:numPr>
              <w:jc w:val="left"/>
              <w:rPr>
                <w:rFonts w:cstheme="minorHAnsi"/>
              </w:rPr>
            </w:pPr>
            <w:r>
              <w:rPr>
                <w:rFonts w:cstheme="minorHAnsi"/>
              </w:rPr>
              <w:t xml:space="preserve">One identified challenge of DSR is that not all ambulatory/primary care providers are connected to the statewide </w:t>
            </w:r>
            <w:r>
              <w:rPr>
                <w:rFonts w:cstheme="minorHAnsi"/>
              </w:rPr>
              <w:lastRenderedPageBreak/>
              <w:t>Health Information Exchange. Funding is being explored to connect practices that are willing.</w:t>
            </w:r>
          </w:p>
          <w:p w:rsidR="009560D6" w:rsidRDefault="009560D6" w:rsidP="009560D6">
            <w:pPr>
              <w:pStyle w:val="ListParagraph"/>
              <w:numPr>
                <w:ilvl w:val="0"/>
                <w:numId w:val="26"/>
              </w:numPr>
              <w:jc w:val="left"/>
              <w:rPr>
                <w:rFonts w:cstheme="minorHAnsi"/>
              </w:rPr>
            </w:pPr>
            <w:r>
              <w:rPr>
                <w:rFonts w:cstheme="minorHAnsi"/>
              </w:rPr>
              <w:t>There is a vision to connect practices to the HIE for practice level as well as aggregate reporting for quality measures related to Delivery Reform- Health homes etc.</w:t>
            </w:r>
          </w:p>
          <w:p w:rsidR="009560D6" w:rsidRDefault="009560D6" w:rsidP="009560D6">
            <w:pPr>
              <w:pStyle w:val="ListParagraph"/>
              <w:numPr>
                <w:ilvl w:val="0"/>
                <w:numId w:val="26"/>
              </w:numPr>
              <w:jc w:val="left"/>
              <w:rPr>
                <w:rFonts w:cstheme="minorHAnsi"/>
              </w:rPr>
            </w:pPr>
            <w:r>
              <w:rPr>
                <w:rFonts w:cstheme="minorHAnsi"/>
              </w:rPr>
              <w:t xml:space="preserve">There is a push in Maine to create a “team-based” approach to care as we see in the Health Homes stage A and B models of care; however, EHR tech. does not easily allow team-based care communication across practices/specialties/organizations etc. </w:t>
            </w:r>
          </w:p>
          <w:p w:rsidR="009560D6" w:rsidRPr="00BB3A7E" w:rsidRDefault="009560D6" w:rsidP="009560D6">
            <w:pPr>
              <w:pStyle w:val="ListParagraph"/>
              <w:numPr>
                <w:ilvl w:val="0"/>
                <w:numId w:val="26"/>
              </w:numPr>
              <w:jc w:val="left"/>
              <w:rPr>
                <w:rFonts w:cstheme="minorHAnsi"/>
                <w:i/>
              </w:rPr>
            </w:pPr>
            <w:r>
              <w:rPr>
                <w:rFonts w:cstheme="minorHAnsi"/>
              </w:rPr>
              <w:t xml:space="preserve">Once practices are connected to the HIE, how do we encourage them to use the HIE? What is the value? The “ask” of all subcommittees is to help educate stakeholders across the state about HealthInfoNet and the benefits of HIE tools, such as real-time notifications for ER and Inpatient use and reports. </w:t>
            </w:r>
            <w:r w:rsidRPr="00BB3A7E">
              <w:rPr>
                <w:rFonts w:cstheme="minorHAnsi"/>
                <w:i/>
              </w:rPr>
              <w:t xml:space="preserve">(Note: that DIS will take up the topic of the SIM project related to HIN’s Notification’s tool in the March meeting).  </w:t>
            </w:r>
          </w:p>
          <w:p w:rsidR="009560D6" w:rsidRPr="00C37005" w:rsidRDefault="009560D6" w:rsidP="009560D6">
            <w:pPr>
              <w:pStyle w:val="ListParagraph"/>
              <w:numPr>
                <w:ilvl w:val="0"/>
                <w:numId w:val="26"/>
              </w:numPr>
              <w:jc w:val="left"/>
              <w:rPr>
                <w:rFonts w:cstheme="minorHAnsi"/>
                <w:b/>
              </w:rPr>
            </w:pPr>
            <w:r w:rsidRPr="00C37005">
              <w:rPr>
                <w:rFonts w:cstheme="minorHAnsi"/>
                <w:b/>
              </w:rPr>
              <w:t>Lisa suggested that maybe the DI subcommittee could come up with some language regarding the current state and challenges and solutions regarding EHR’s interoperability across</w:t>
            </w:r>
            <w:r>
              <w:rPr>
                <w:rFonts w:cstheme="minorHAnsi"/>
                <w:b/>
              </w:rPr>
              <w:t xml:space="preserve"> the state, as well as PHI and substance abuse barriers to sharing medical data. </w:t>
            </w:r>
          </w:p>
          <w:p w:rsidR="009560D6" w:rsidRPr="009F1BD1" w:rsidRDefault="009560D6" w:rsidP="00B301CB">
            <w:pPr>
              <w:pStyle w:val="ListParagraph"/>
              <w:numPr>
                <w:ilvl w:val="0"/>
                <w:numId w:val="26"/>
              </w:numPr>
              <w:jc w:val="left"/>
              <w:rPr>
                <w:rFonts w:cstheme="minorHAnsi"/>
                <w:u w:val="single"/>
              </w:rPr>
            </w:pPr>
            <w:r w:rsidRPr="009F1BD1">
              <w:rPr>
                <w:rFonts w:cstheme="minorHAnsi"/>
              </w:rPr>
              <w:t xml:space="preserve">The use of the tool “Direct Email” was discussed as a potential solution for providers to communicate easily across organizations when their EHR tools have no better means to communicate. HIN will follow up on this and bring back more details related to this tool at a upcoming meeting to bring more understanding about the tool and it’s pro’s and con’s. </w:t>
            </w:r>
          </w:p>
          <w:p w:rsidR="009560D6" w:rsidRPr="00C37005" w:rsidRDefault="009560D6" w:rsidP="00B301CB">
            <w:pPr>
              <w:jc w:val="left"/>
              <w:rPr>
                <w:rFonts w:cstheme="minorHAnsi"/>
                <w:u w:val="single"/>
              </w:rPr>
            </w:pPr>
            <w:r>
              <w:rPr>
                <w:rFonts w:cstheme="minorHAnsi"/>
                <w:u w:val="single"/>
              </w:rPr>
              <w:t xml:space="preserve">Lisa identified </w:t>
            </w:r>
            <w:r w:rsidRPr="00C37005">
              <w:rPr>
                <w:rFonts w:cstheme="minorHAnsi"/>
                <w:u w:val="single"/>
              </w:rPr>
              <w:t>Key Questions for SIM Data Infrastructure Subcommittee</w:t>
            </w:r>
            <w:r>
              <w:rPr>
                <w:rFonts w:cstheme="minorHAnsi"/>
                <w:u w:val="single"/>
              </w:rPr>
              <w:t xml:space="preserve"> to consider today and ongoing</w:t>
            </w:r>
            <w:r w:rsidRPr="00C37005">
              <w:rPr>
                <w:rFonts w:cstheme="minorHAnsi"/>
                <w:u w:val="single"/>
              </w:rPr>
              <w:t>:</w:t>
            </w:r>
          </w:p>
          <w:p w:rsidR="009560D6" w:rsidRPr="00412850" w:rsidRDefault="009560D6" w:rsidP="009560D6">
            <w:pPr>
              <w:pStyle w:val="ListParagraph"/>
              <w:numPr>
                <w:ilvl w:val="0"/>
                <w:numId w:val="26"/>
              </w:numPr>
              <w:jc w:val="left"/>
              <w:rPr>
                <w:rFonts w:cstheme="minorHAnsi"/>
                <w:b/>
              </w:rPr>
            </w:pPr>
            <w:r w:rsidRPr="00412850">
              <w:rPr>
                <w:rFonts w:cstheme="minorHAnsi"/>
                <w:b/>
              </w:rPr>
              <w:t xml:space="preserve">What strategies will be most effective to ensure that Primary Care Practices and Community Care Teams participating in the Health Home initiative are actively using the Health Information Technology functionality available under SIM to ensure that they meet their core expectations? </w:t>
            </w:r>
          </w:p>
          <w:p w:rsidR="009560D6" w:rsidRPr="00412850" w:rsidRDefault="009560D6" w:rsidP="009560D6">
            <w:pPr>
              <w:pStyle w:val="ListParagraph"/>
              <w:numPr>
                <w:ilvl w:val="0"/>
                <w:numId w:val="26"/>
              </w:numPr>
              <w:jc w:val="left"/>
              <w:rPr>
                <w:rFonts w:cstheme="minorHAnsi"/>
                <w:b/>
              </w:rPr>
            </w:pPr>
            <w:r w:rsidRPr="00412850">
              <w:rPr>
                <w:rFonts w:cstheme="minorHAnsi"/>
                <w:b/>
              </w:rPr>
              <w:t>How can the initiatives and collaborations under SIM advance the capability to extract quality measures (both physical and behavioral health), including clinical quality measures and data used for quality improvement activities?</w:t>
            </w:r>
          </w:p>
          <w:p w:rsidR="009560D6" w:rsidRPr="00412850" w:rsidRDefault="009560D6" w:rsidP="009560D6">
            <w:pPr>
              <w:pStyle w:val="ListParagraph"/>
              <w:numPr>
                <w:ilvl w:val="0"/>
                <w:numId w:val="26"/>
              </w:numPr>
              <w:jc w:val="left"/>
              <w:rPr>
                <w:rFonts w:cstheme="minorHAnsi"/>
                <w:b/>
              </w:rPr>
            </w:pPr>
            <w:r w:rsidRPr="00412850">
              <w:rPr>
                <w:rFonts w:cstheme="minorHAnsi"/>
                <w:b/>
              </w:rPr>
              <w:t>How can the resources and collaborations under SIM advance the ability to pass Protected Health Information (PHI) to improve the quality of care across the care continuum, and including community based providers and special populations (e.g., Community Health Workers)?</w:t>
            </w:r>
          </w:p>
          <w:p w:rsidR="009560D6" w:rsidRPr="00C37005" w:rsidRDefault="009560D6" w:rsidP="00412850">
            <w:pPr>
              <w:pStyle w:val="ListParagraph"/>
              <w:numPr>
                <w:ilvl w:val="0"/>
                <w:numId w:val="26"/>
              </w:numPr>
              <w:jc w:val="left"/>
              <w:rPr>
                <w:rFonts w:cstheme="minorHAnsi"/>
              </w:rPr>
            </w:pPr>
            <w:r w:rsidRPr="00412850">
              <w:rPr>
                <w:rFonts w:cstheme="minorHAnsi"/>
                <w:b/>
              </w:rPr>
              <w:t>Considering the focus on connectivity and health information technology (HIT) under SIM, what are some strategies to promote/advance the use of HIT to the HH Primary Care Learning Collaborative?</w:t>
            </w:r>
          </w:p>
        </w:tc>
      </w:tr>
      <w:tr w:rsidR="009560D6" w:rsidRPr="00990D1F" w:rsidTr="009560D6">
        <w:trPr>
          <w:trHeight w:val="872"/>
        </w:trPr>
        <w:tc>
          <w:tcPr>
            <w:tcW w:w="822" w:type="pct"/>
          </w:tcPr>
          <w:p w:rsidR="009560D6" w:rsidRPr="005F4D9C" w:rsidRDefault="009560D6" w:rsidP="00B301CB">
            <w:pPr>
              <w:pStyle w:val="Formal1"/>
              <w:rPr>
                <w:rFonts w:asciiTheme="minorHAnsi" w:hAnsiTheme="minorHAnsi" w:cstheme="minorHAnsi"/>
                <w:b/>
                <w:bCs/>
                <w:sz w:val="22"/>
                <w:szCs w:val="22"/>
              </w:rPr>
            </w:pPr>
            <w:r>
              <w:rPr>
                <w:rFonts w:asciiTheme="minorHAnsi" w:hAnsiTheme="minorHAnsi" w:cstheme="minorHAnsi"/>
                <w:b/>
                <w:bCs/>
                <w:sz w:val="22"/>
                <w:szCs w:val="22"/>
              </w:rPr>
              <w:lastRenderedPageBreak/>
              <w:t>Payment Reform Subcommittee Report</w:t>
            </w:r>
            <w:r w:rsidRPr="005F4D9C">
              <w:rPr>
                <w:rFonts w:asciiTheme="minorHAnsi" w:hAnsiTheme="minorHAnsi" w:cstheme="minorHAnsi"/>
                <w:b/>
                <w:bCs/>
                <w:sz w:val="22"/>
                <w:szCs w:val="22"/>
              </w:rPr>
              <w:t xml:space="preserve"> </w:t>
            </w:r>
          </w:p>
        </w:tc>
        <w:tc>
          <w:tcPr>
            <w:tcW w:w="293" w:type="pct"/>
          </w:tcPr>
          <w:p w:rsidR="009560D6" w:rsidRPr="00F454C7" w:rsidRDefault="009560D6" w:rsidP="00B301CB">
            <w:pPr>
              <w:jc w:val="left"/>
              <w:rPr>
                <w:rFonts w:cstheme="minorHAnsi"/>
              </w:rPr>
            </w:pPr>
            <w:r>
              <w:rPr>
                <w:rFonts w:cstheme="minorHAnsi"/>
              </w:rPr>
              <w:t>N/A</w:t>
            </w:r>
          </w:p>
        </w:tc>
        <w:tc>
          <w:tcPr>
            <w:tcW w:w="3885" w:type="pct"/>
            <w:gridSpan w:val="2"/>
          </w:tcPr>
          <w:p w:rsidR="009560D6" w:rsidRDefault="009560D6" w:rsidP="009560D6">
            <w:pPr>
              <w:pStyle w:val="ListParagraph"/>
              <w:numPr>
                <w:ilvl w:val="0"/>
                <w:numId w:val="28"/>
              </w:numPr>
              <w:jc w:val="left"/>
              <w:rPr>
                <w:rFonts w:cstheme="minorHAnsi"/>
              </w:rPr>
            </w:pPr>
            <w:r>
              <w:rPr>
                <w:rFonts w:cstheme="minorHAnsi"/>
              </w:rPr>
              <w:t>Katie reviewed examples of SIM work that overlaps between DI subcommittee and PR subcommittee scope of work (Slides present summary overlap).</w:t>
            </w:r>
          </w:p>
          <w:p w:rsidR="009560D6" w:rsidRPr="008D4275" w:rsidRDefault="009560D6" w:rsidP="00B301CB">
            <w:pPr>
              <w:jc w:val="left"/>
              <w:rPr>
                <w:rFonts w:cstheme="minorHAnsi"/>
              </w:rPr>
            </w:pPr>
            <w:r>
              <w:rPr>
                <w:rFonts w:cstheme="minorHAnsi"/>
              </w:rPr>
              <w:t>Frank Johnson presented material from the current efforts occurring within the scope of the Payment Reform Subcommittee most specifically related to quality measure and the current state and challenges with this work at a high level:</w:t>
            </w:r>
          </w:p>
          <w:p w:rsidR="009560D6" w:rsidRDefault="009560D6" w:rsidP="009560D6">
            <w:pPr>
              <w:pStyle w:val="ListParagraph"/>
              <w:numPr>
                <w:ilvl w:val="0"/>
                <w:numId w:val="28"/>
              </w:numPr>
              <w:jc w:val="left"/>
              <w:rPr>
                <w:rFonts w:cstheme="minorHAnsi"/>
              </w:rPr>
            </w:pPr>
            <w:r>
              <w:rPr>
                <w:rFonts w:cstheme="minorHAnsi"/>
              </w:rPr>
              <w:t>There is a national and statewide effort to move payments from Fee-for-Service (FFS) to performance-based methods, or a combination or such.</w:t>
            </w:r>
          </w:p>
          <w:p w:rsidR="009560D6" w:rsidRDefault="009560D6" w:rsidP="009560D6">
            <w:pPr>
              <w:pStyle w:val="ListParagraph"/>
              <w:numPr>
                <w:ilvl w:val="0"/>
                <w:numId w:val="28"/>
              </w:numPr>
              <w:jc w:val="left"/>
              <w:rPr>
                <w:rFonts w:cstheme="minorHAnsi"/>
              </w:rPr>
            </w:pPr>
            <w:r>
              <w:rPr>
                <w:rFonts w:cstheme="minorHAnsi"/>
              </w:rPr>
              <w:t xml:space="preserve">A brief review of the Pathways to Excellence program process, and MHMC’s “Get Better Maine” website was mentioned. For more information see: </w:t>
            </w:r>
            <w:hyperlink r:id="rId14" w:history="1">
              <w:r w:rsidRPr="007C0F05">
                <w:rPr>
                  <w:rStyle w:val="Hyperlink"/>
                  <w:rFonts w:cstheme="minorHAnsi"/>
                </w:rPr>
                <w:t>http://www.getbettermaine.org/</w:t>
              </w:r>
            </w:hyperlink>
          </w:p>
          <w:p w:rsidR="009560D6" w:rsidRDefault="009560D6" w:rsidP="009560D6">
            <w:pPr>
              <w:pStyle w:val="ListParagraph"/>
              <w:numPr>
                <w:ilvl w:val="0"/>
                <w:numId w:val="28"/>
              </w:numPr>
              <w:jc w:val="left"/>
              <w:rPr>
                <w:rFonts w:cstheme="minorHAnsi"/>
              </w:rPr>
            </w:pPr>
            <w:r>
              <w:rPr>
                <w:rFonts w:cstheme="minorHAnsi"/>
              </w:rPr>
              <w:lastRenderedPageBreak/>
              <w:t xml:space="preserve">The quality comparison website Hospital Compare was also mentioned: </w:t>
            </w:r>
            <w:hyperlink r:id="rId15" w:history="1">
              <w:r w:rsidRPr="007C0F05">
                <w:rPr>
                  <w:rStyle w:val="Hyperlink"/>
                  <w:rFonts w:cstheme="minorHAnsi"/>
                </w:rPr>
                <w:t>http://www.medicare.gov/hospitalcompare</w:t>
              </w:r>
            </w:hyperlink>
          </w:p>
          <w:p w:rsidR="009560D6" w:rsidRDefault="009560D6" w:rsidP="009560D6">
            <w:pPr>
              <w:pStyle w:val="ListParagraph"/>
              <w:numPr>
                <w:ilvl w:val="0"/>
                <w:numId w:val="28"/>
              </w:numPr>
              <w:jc w:val="left"/>
              <w:rPr>
                <w:rFonts w:cstheme="minorHAnsi"/>
              </w:rPr>
            </w:pPr>
            <w:r>
              <w:rPr>
                <w:rFonts w:cstheme="minorHAnsi"/>
              </w:rPr>
              <w:t xml:space="preserve">The PR subcommittee and the Maine Health Management Coalition (MHMC) are working to align their SIM project work with what is happening within CMS, private payers, and the MaineCare Accountable Communities work. </w:t>
            </w:r>
          </w:p>
          <w:p w:rsidR="009560D6" w:rsidRDefault="009560D6" w:rsidP="009560D6">
            <w:pPr>
              <w:pStyle w:val="ListParagraph"/>
              <w:numPr>
                <w:ilvl w:val="0"/>
                <w:numId w:val="28"/>
              </w:numPr>
              <w:jc w:val="left"/>
              <w:rPr>
                <w:rFonts w:cstheme="minorHAnsi"/>
              </w:rPr>
            </w:pPr>
            <w:r>
              <w:rPr>
                <w:rFonts w:cstheme="minorHAnsi"/>
              </w:rPr>
              <w:t xml:space="preserve">The current focus of The Accountable Care Implementation (ACI) Steering Group is working to create an aligned, common set of quality measures for ACOs in Maine. They are considering using the 33 CMS ACO measures for health systems supplemented with population-based measures, such as pediatric and maternal health. However the challenge with this measure set is that the data is only targeted for the Medicare population. Each payer community has variant population concerns, targets and needs. </w:t>
            </w:r>
          </w:p>
          <w:p w:rsidR="009560D6" w:rsidRDefault="009560D6" w:rsidP="009560D6">
            <w:pPr>
              <w:pStyle w:val="ListParagraph"/>
              <w:numPr>
                <w:ilvl w:val="0"/>
                <w:numId w:val="28"/>
              </w:numPr>
              <w:jc w:val="left"/>
              <w:rPr>
                <w:rFonts w:cstheme="minorHAnsi"/>
              </w:rPr>
            </w:pPr>
            <w:r>
              <w:rPr>
                <w:rFonts w:cstheme="minorHAnsi"/>
              </w:rPr>
              <w:t xml:space="preserve">This work considers the impact of both payment and contracting rationale, comparison and analysis of health care provider’s quality of care and outcomes, and acknowledges the challenge that different populations (and thus payers) require different targeted measures. </w:t>
            </w:r>
          </w:p>
          <w:p w:rsidR="009560D6" w:rsidRDefault="009560D6" w:rsidP="009560D6">
            <w:pPr>
              <w:pStyle w:val="ListParagraph"/>
              <w:numPr>
                <w:ilvl w:val="0"/>
                <w:numId w:val="28"/>
              </w:numPr>
              <w:jc w:val="left"/>
              <w:rPr>
                <w:rFonts w:cstheme="minorHAnsi"/>
              </w:rPr>
            </w:pPr>
            <w:r>
              <w:rPr>
                <w:rFonts w:cstheme="minorHAnsi"/>
              </w:rPr>
              <w:t xml:space="preserve">Nationally recognized quality leaders guide the work for quality measurement such as: National Quality Forum (NQF), Centers for Medicare (CMS), National Committee on Quality Assurance (NCQA), </w:t>
            </w:r>
            <w:r w:rsidRPr="00B57062">
              <w:rPr>
                <w:rFonts w:cstheme="minorHAnsi"/>
              </w:rPr>
              <w:t xml:space="preserve">Healthcare Effectiveness Data and Information Set </w:t>
            </w:r>
            <w:r>
              <w:rPr>
                <w:rFonts w:cstheme="minorHAnsi"/>
              </w:rPr>
              <w:t xml:space="preserve">(HEDIS) etc. </w:t>
            </w:r>
          </w:p>
          <w:p w:rsidR="009560D6" w:rsidRDefault="009560D6" w:rsidP="009560D6">
            <w:pPr>
              <w:pStyle w:val="ListParagraph"/>
              <w:numPr>
                <w:ilvl w:val="0"/>
                <w:numId w:val="28"/>
              </w:numPr>
              <w:jc w:val="left"/>
              <w:rPr>
                <w:rFonts w:cstheme="minorHAnsi"/>
              </w:rPr>
            </w:pPr>
            <w:r>
              <w:rPr>
                <w:rFonts w:cstheme="minorHAnsi"/>
              </w:rPr>
              <w:t>There is a national challenge identified-</w:t>
            </w:r>
            <w:r w:rsidRPr="00406C86">
              <w:rPr>
                <w:rFonts w:cstheme="minorHAnsi"/>
              </w:rPr>
              <w:t xml:space="preserve"> the lack of behavioral health data to create and measure quality measures. There is currently no reliable claims-based BH data </w:t>
            </w:r>
            <w:r>
              <w:rPr>
                <w:rFonts w:cstheme="minorHAnsi"/>
              </w:rPr>
              <w:t xml:space="preserve">from the commercial insurance space </w:t>
            </w:r>
            <w:r w:rsidRPr="00406C86">
              <w:rPr>
                <w:rFonts w:cstheme="minorHAnsi"/>
              </w:rPr>
              <w:t>because it is reported from a contracted 3</w:t>
            </w:r>
            <w:r w:rsidRPr="00406C86">
              <w:rPr>
                <w:rFonts w:cstheme="minorHAnsi"/>
                <w:vertAlign w:val="superscript"/>
              </w:rPr>
              <w:t>rd</w:t>
            </w:r>
            <w:r w:rsidRPr="00406C86">
              <w:rPr>
                <w:rFonts w:cstheme="minorHAnsi"/>
              </w:rPr>
              <w:t xml:space="preserve"> party insurer.</w:t>
            </w:r>
          </w:p>
          <w:p w:rsidR="009560D6" w:rsidRPr="00BE7D02" w:rsidRDefault="009560D6" w:rsidP="009560D6">
            <w:pPr>
              <w:pStyle w:val="ListParagraph"/>
              <w:numPr>
                <w:ilvl w:val="0"/>
                <w:numId w:val="28"/>
              </w:numPr>
              <w:jc w:val="left"/>
              <w:rPr>
                <w:rFonts w:cstheme="minorHAnsi"/>
                <w:b/>
              </w:rPr>
            </w:pPr>
            <w:r w:rsidRPr="00BE7D02">
              <w:rPr>
                <w:rFonts w:cstheme="minorHAnsi"/>
                <w:b/>
              </w:rPr>
              <w:t xml:space="preserve">The “ask” to DIS is: Can we collect the data for the 33 CMS ACO measures for the populations served by other payers beyond Medicare? </w:t>
            </w:r>
          </w:p>
        </w:tc>
      </w:tr>
      <w:tr w:rsidR="009560D6" w:rsidRPr="00990D1F" w:rsidTr="009560D6">
        <w:tc>
          <w:tcPr>
            <w:tcW w:w="822" w:type="pct"/>
          </w:tcPr>
          <w:p w:rsidR="009560D6" w:rsidRPr="00AC0CE5" w:rsidRDefault="009560D6" w:rsidP="00B301CB">
            <w:pPr>
              <w:pStyle w:val="Formal1"/>
              <w:spacing w:after="0"/>
              <w:rPr>
                <w:rFonts w:cstheme="minorHAnsi"/>
                <w:b/>
              </w:rPr>
            </w:pPr>
            <w:r>
              <w:rPr>
                <w:rFonts w:asciiTheme="minorHAnsi" w:hAnsiTheme="minorHAnsi" w:cstheme="minorHAnsi"/>
                <w:b/>
                <w:bCs/>
                <w:sz w:val="22"/>
                <w:szCs w:val="22"/>
              </w:rPr>
              <w:lastRenderedPageBreak/>
              <w:t>Agenda/Meetings beyond into late 2014</w:t>
            </w:r>
          </w:p>
        </w:tc>
        <w:tc>
          <w:tcPr>
            <w:tcW w:w="293" w:type="pct"/>
          </w:tcPr>
          <w:p w:rsidR="009560D6" w:rsidRPr="00F454C7" w:rsidRDefault="009560D6" w:rsidP="00B301CB">
            <w:pPr>
              <w:jc w:val="left"/>
              <w:rPr>
                <w:rFonts w:cstheme="minorHAnsi"/>
              </w:rPr>
            </w:pPr>
            <w:r>
              <w:rPr>
                <w:rFonts w:cstheme="minorHAnsi"/>
              </w:rPr>
              <w:t>N/A</w:t>
            </w:r>
          </w:p>
        </w:tc>
        <w:tc>
          <w:tcPr>
            <w:tcW w:w="3885" w:type="pct"/>
            <w:gridSpan w:val="2"/>
          </w:tcPr>
          <w:p w:rsidR="009560D6" w:rsidRDefault="009560D6" w:rsidP="009560D6">
            <w:pPr>
              <w:pStyle w:val="ListParagraph"/>
              <w:numPr>
                <w:ilvl w:val="0"/>
                <w:numId w:val="27"/>
              </w:numPr>
              <w:jc w:val="left"/>
              <w:rPr>
                <w:rFonts w:cstheme="minorHAnsi"/>
              </w:rPr>
            </w:pPr>
            <w:r>
              <w:rPr>
                <w:rFonts w:cstheme="minorHAnsi"/>
              </w:rPr>
              <w:t>Reviewed proposed upcoming meeting schedule – No February meeting.</w:t>
            </w:r>
          </w:p>
          <w:p w:rsidR="009560D6" w:rsidRDefault="009560D6" w:rsidP="009560D6">
            <w:pPr>
              <w:pStyle w:val="ListParagraph"/>
              <w:numPr>
                <w:ilvl w:val="0"/>
                <w:numId w:val="27"/>
              </w:numPr>
              <w:jc w:val="left"/>
              <w:rPr>
                <w:rFonts w:cstheme="minorHAnsi"/>
              </w:rPr>
            </w:pPr>
            <w:r>
              <w:rPr>
                <w:rFonts w:cstheme="minorHAnsi"/>
              </w:rPr>
              <w:t>Nancy suggested scheduling monthly meetings and then canceling as needed because it is hard to reschedule.</w:t>
            </w:r>
          </w:p>
          <w:p w:rsidR="009560D6" w:rsidRDefault="009560D6" w:rsidP="009560D6">
            <w:pPr>
              <w:pStyle w:val="ListParagraph"/>
              <w:numPr>
                <w:ilvl w:val="0"/>
                <w:numId w:val="27"/>
              </w:numPr>
              <w:jc w:val="left"/>
              <w:rPr>
                <w:rFonts w:cstheme="minorHAnsi"/>
              </w:rPr>
            </w:pPr>
            <w:r>
              <w:rPr>
                <w:rFonts w:cstheme="minorHAnsi"/>
              </w:rPr>
              <w:t>Cathy Cobb suggested a demonstration of the notification service from HIN.</w:t>
            </w:r>
          </w:p>
          <w:p w:rsidR="009560D6" w:rsidRPr="00DF0426" w:rsidRDefault="009560D6" w:rsidP="009560D6">
            <w:pPr>
              <w:pStyle w:val="ListParagraph"/>
              <w:numPr>
                <w:ilvl w:val="0"/>
                <w:numId w:val="27"/>
              </w:numPr>
              <w:jc w:val="left"/>
              <w:rPr>
                <w:rFonts w:cstheme="minorHAnsi"/>
              </w:rPr>
            </w:pPr>
            <w:r>
              <w:rPr>
                <w:rFonts w:cstheme="minorHAnsi"/>
              </w:rPr>
              <w:t>March meeting topic may include update of HIN’s BH RFP, introduction to HIN-MC dashboard project and the ED notification project.</w:t>
            </w:r>
          </w:p>
        </w:tc>
      </w:tr>
      <w:tr w:rsidR="009560D6" w:rsidRPr="00990D1F" w:rsidTr="009560D6">
        <w:tc>
          <w:tcPr>
            <w:tcW w:w="822" w:type="pct"/>
          </w:tcPr>
          <w:p w:rsidR="009560D6" w:rsidRPr="005F4D9C" w:rsidRDefault="009560D6" w:rsidP="00B301CB">
            <w:pPr>
              <w:pStyle w:val="Formal1"/>
              <w:rPr>
                <w:rFonts w:asciiTheme="minorHAnsi" w:hAnsiTheme="minorHAnsi" w:cstheme="minorHAnsi"/>
                <w:b/>
                <w:bCs/>
                <w:sz w:val="22"/>
                <w:szCs w:val="22"/>
              </w:rPr>
            </w:pPr>
            <w:r w:rsidRPr="005F4D9C">
              <w:rPr>
                <w:rFonts w:asciiTheme="minorHAnsi" w:hAnsiTheme="minorHAnsi" w:cstheme="minorHAnsi"/>
                <w:b/>
                <w:bCs/>
                <w:sz w:val="22"/>
                <w:szCs w:val="22"/>
              </w:rPr>
              <w:t>Public Comment</w:t>
            </w:r>
          </w:p>
        </w:tc>
        <w:tc>
          <w:tcPr>
            <w:tcW w:w="293" w:type="pct"/>
          </w:tcPr>
          <w:p w:rsidR="009560D6" w:rsidRPr="00F454C7" w:rsidRDefault="009560D6" w:rsidP="00B301CB">
            <w:pPr>
              <w:jc w:val="left"/>
              <w:rPr>
                <w:rFonts w:cstheme="minorHAnsi"/>
              </w:rPr>
            </w:pPr>
            <w:r w:rsidRPr="00F454C7">
              <w:rPr>
                <w:rFonts w:cstheme="minorHAnsi"/>
              </w:rPr>
              <w:t>N/A</w:t>
            </w:r>
          </w:p>
        </w:tc>
        <w:tc>
          <w:tcPr>
            <w:tcW w:w="3885" w:type="pct"/>
            <w:gridSpan w:val="2"/>
          </w:tcPr>
          <w:p w:rsidR="009560D6" w:rsidRDefault="009560D6" w:rsidP="009560D6">
            <w:pPr>
              <w:pStyle w:val="ListParagraph"/>
              <w:numPr>
                <w:ilvl w:val="0"/>
                <w:numId w:val="27"/>
              </w:numPr>
              <w:jc w:val="left"/>
              <w:rPr>
                <w:rFonts w:cstheme="minorHAnsi"/>
              </w:rPr>
            </w:pPr>
            <w:r>
              <w:rPr>
                <w:rFonts w:cstheme="minorHAnsi"/>
              </w:rPr>
              <w:t>No additional public comment</w:t>
            </w:r>
          </w:p>
        </w:tc>
      </w:tr>
    </w:tbl>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821" w:type="dxa"/>
        <w:tblInd w:w="-88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8"/>
        <w:gridCol w:w="9276"/>
        <w:gridCol w:w="1327"/>
        <w:gridCol w:w="1175"/>
        <w:gridCol w:w="1175"/>
      </w:tblGrid>
      <w:tr w:rsidR="009F1BD1" w:rsidRPr="008A07E3" w:rsidTr="009F1BD1">
        <w:trPr>
          <w:cantSplit/>
          <w:trHeight w:val="522"/>
        </w:trPr>
        <w:tc>
          <w:tcPr>
            <w:tcW w:w="186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9F1BD1" w:rsidRPr="008A07E3" w:rsidRDefault="009F1BD1" w:rsidP="00B301CB">
            <w:pPr>
              <w:jc w:val="left"/>
              <w:rPr>
                <w:rFonts w:cstheme="minorHAnsi"/>
                <w:b/>
                <w:color w:val="FFFFFF" w:themeColor="background1"/>
              </w:rPr>
            </w:pPr>
            <w:r>
              <w:rPr>
                <w:rFonts w:cstheme="minorHAnsi"/>
                <w:b/>
                <w:color w:val="FFFFFF" w:themeColor="background1"/>
              </w:rPr>
              <w:t>Agenda Item</w:t>
            </w:r>
          </w:p>
        </w:tc>
        <w:tc>
          <w:tcPr>
            <w:tcW w:w="9276"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9F1BD1" w:rsidRPr="008A07E3" w:rsidRDefault="009F1BD1" w:rsidP="00B301CB">
            <w:pPr>
              <w:jc w:val="left"/>
              <w:rPr>
                <w:rFonts w:cstheme="minorHAnsi"/>
                <w:b/>
                <w:color w:val="FFFFFF" w:themeColor="background1"/>
              </w:rPr>
            </w:pPr>
            <w:r w:rsidRPr="008A07E3">
              <w:rPr>
                <w:rFonts w:cstheme="minorHAnsi"/>
                <w:b/>
                <w:color w:val="FFFFFF" w:themeColor="background1"/>
              </w:rPr>
              <w:t>Action Items</w:t>
            </w:r>
          </w:p>
        </w:tc>
        <w:tc>
          <w:tcPr>
            <w:tcW w:w="1327"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9F1BD1" w:rsidRPr="008A07E3" w:rsidRDefault="009F1BD1" w:rsidP="00B301CB">
            <w:pPr>
              <w:jc w:val="left"/>
              <w:rPr>
                <w:rFonts w:cstheme="minorHAnsi"/>
                <w:b/>
                <w:color w:val="FFFFFF" w:themeColor="background1"/>
              </w:rPr>
            </w:pPr>
            <w:r w:rsidRPr="008A07E3">
              <w:rPr>
                <w:rFonts w:cstheme="minorHAnsi"/>
                <w:b/>
                <w:color w:val="FFFFFF" w:themeColor="background1"/>
              </w:rPr>
              <w:t>Status</w:t>
            </w:r>
          </w:p>
        </w:tc>
        <w:tc>
          <w:tcPr>
            <w:tcW w:w="1175"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9F1BD1" w:rsidRPr="008A07E3" w:rsidRDefault="009F1BD1" w:rsidP="00B301CB">
            <w:pPr>
              <w:jc w:val="left"/>
              <w:rPr>
                <w:rFonts w:cstheme="minorHAnsi"/>
                <w:b/>
                <w:color w:val="FFFFFF" w:themeColor="background1"/>
              </w:rPr>
            </w:pPr>
            <w:r w:rsidRPr="008A07E3">
              <w:rPr>
                <w:rFonts w:cstheme="minorHAnsi"/>
                <w:b/>
                <w:color w:val="FFFFFF" w:themeColor="background1"/>
              </w:rPr>
              <w:t>Who</w:t>
            </w:r>
          </w:p>
        </w:tc>
        <w:tc>
          <w:tcPr>
            <w:tcW w:w="1175"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9F1BD1" w:rsidRPr="008A07E3" w:rsidRDefault="009F1BD1" w:rsidP="00B301CB">
            <w:pPr>
              <w:jc w:val="left"/>
              <w:rPr>
                <w:rFonts w:cstheme="minorHAnsi"/>
                <w:b/>
                <w:color w:val="FFFFFF" w:themeColor="background1"/>
              </w:rPr>
            </w:pPr>
            <w:r w:rsidRPr="008A07E3">
              <w:rPr>
                <w:rFonts w:cstheme="minorHAnsi"/>
                <w:b/>
                <w:color w:val="FFFFFF" w:themeColor="background1"/>
              </w:rPr>
              <w:t>Due By</w:t>
            </w:r>
          </w:p>
        </w:tc>
      </w:tr>
      <w:tr w:rsidR="009F1BD1" w:rsidRPr="004D53AB" w:rsidTr="009F1BD1">
        <w:trPr>
          <w:cantSplit/>
          <w:trHeight w:val="506"/>
        </w:trPr>
        <w:tc>
          <w:tcPr>
            <w:tcW w:w="1868" w:type="dxa"/>
            <w:tcBorders>
              <w:top w:val="single" w:sz="4" w:space="0" w:color="C0C0C0"/>
              <w:left w:val="single" w:sz="4" w:space="0" w:color="C0C0C0"/>
              <w:bottom w:val="single" w:sz="4" w:space="0" w:color="C0C0C0"/>
              <w:right w:val="single" w:sz="4" w:space="0" w:color="C0C0C0"/>
            </w:tcBorders>
            <w:vAlign w:val="center"/>
          </w:tcPr>
          <w:p w:rsidR="009F1BD1" w:rsidRPr="006554C1" w:rsidRDefault="009F1BD1" w:rsidP="00B301CB">
            <w:pPr>
              <w:jc w:val="left"/>
              <w:rPr>
                <w:rFonts w:cs="Arial"/>
                <w:b/>
                <w:lang w:val="en-AU"/>
              </w:rPr>
            </w:pPr>
            <w:r>
              <w:rPr>
                <w:rFonts w:cs="Arial"/>
                <w:b/>
                <w:lang w:val="en-AU"/>
              </w:rPr>
              <w:t>2014 Meeting Schedule</w:t>
            </w:r>
          </w:p>
        </w:tc>
        <w:tc>
          <w:tcPr>
            <w:tcW w:w="9276" w:type="dxa"/>
            <w:tcBorders>
              <w:top w:val="single" w:sz="4" w:space="0" w:color="C0C0C0"/>
              <w:left w:val="single" w:sz="4" w:space="0" w:color="C0C0C0"/>
              <w:bottom w:val="single" w:sz="4" w:space="0" w:color="C0C0C0"/>
              <w:right w:val="single" w:sz="4" w:space="0" w:color="C0C0C0"/>
            </w:tcBorders>
          </w:tcPr>
          <w:p w:rsidR="009F1BD1" w:rsidRPr="006554C1" w:rsidRDefault="009F1BD1" w:rsidP="00B301CB">
            <w:pPr>
              <w:jc w:val="left"/>
              <w:rPr>
                <w:rFonts w:cs="Arial"/>
                <w:lang w:val="en-AU"/>
              </w:rPr>
            </w:pPr>
            <w:r>
              <w:rPr>
                <w:rFonts w:cs="Arial"/>
                <w:lang w:val="en-AU"/>
              </w:rPr>
              <w:t>Katie will update the 2014 meeting schedule and send out meeting invites via Outlook</w:t>
            </w:r>
          </w:p>
        </w:tc>
        <w:tc>
          <w:tcPr>
            <w:tcW w:w="1327" w:type="dxa"/>
            <w:tcBorders>
              <w:top w:val="single" w:sz="4" w:space="0" w:color="C0C0C0"/>
              <w:left w:val="single" w:sz="4" w:space="0" w:color="C0C0C0"/>
              <w:bottom w:val="single" w:sz="4" w:space="0" w:color="C0C0C0"/>
              <w:right w:val="single" w:sz="4" w:space="0" w:color="C0C0C0"/>
            </w:tcBorders>
          </w:tcPr>
          <w:p w:rsidR="009F1BD1" w:rsidRPr="006554C1" w:rsidRDefault="009F1BD1" w:rsidP="00B301CB">
            <w:pPr>
              <w:jc w:val="left"/>
              <w:rPr>
                <w:rFonts w:cs="Arial"/>
                <w:lang w:val="en-AU"/>
              </w:rPr>
            </w:pPr>
            <w:r>
              <w:rPr>
                <w:rFonts w:cs="Arial"/>
                <w:lang w:val="en-AU"/>
              </w:rPr>
              <w:t>Complete</w:t>
            </w:r>
          </w:p>
        </w:tc>
        <w:tc>
          <w:tcPr>
            <w:tcW w:w="1175" w:type="dxa"/>
            <w:tcBorders>
              <w:top w:val="single" w:sz="4" w:space="0" w:color="C0C0C0"/>
              <w:left w:val="single" w:sz="4" w:space="0" w:color="C0C0C0"/>
              <w:bottom w:val="single" w:sz="4" w:space="0" w:color="C0C0C0"/>
              <w:right w:val="single" w:sz="4" w:space="0" w:color="C0C0C0"/>
            </w:tcBorders>
          </w:tcPr>
          <w:p w:rsidR="009F1BD1" w:rsidRPr="006554C1" w:rsidRDefault="009F1BD1" w:rsidP="00B301CB">
            <w:pPr>
              <w:jc w:val="left"/>
              <w:rPr>
                <w:rFonts w:cs="Arial"/>
                <w:lang w:val="en-AU"/>
              </w:rPr>
            </w:pPr>
            <w:r>
              <w:rPr>
                <w:rFonts w:cs="Arial"/>
                <w:lang w:val="en-AU"/>
              </w:rPr>
              <w:t>Katie</w:t>
            </w:r>
          </w:p>
        </w:tc>
        <w:tc>
          <w:tcPr>
            <w:tcW w:w="1175" w:type="dxa"/>
            <w:tcBorders>
              <w:top w:val="single" w:sz="4" w:space="0" w:color="C0C0C0"/>
              <w:left w:val="single" w:sz="4" w:space="0" w:color="C0C0C0"/>
              <w:bottom w:val="single" w:sz="4" w:space="0" w:color="C0C0C0"/>
              <w:right w:val="single" w:sz="4" w:space="0" w:color="C0C0C0"/>
            </w:tcBorders>
          </w:tcPr>
          <w:p w:rsidR="009F1BD1" w:rsidRPr="006554C1" w:rsidRDefault="009F1BD1" w:rsidP="00B301CB">
            <w:pPr>
              <w:jc w:val="left"/>
              <w:rPr>
                <w:rFonts w:cs="Arial"/>
                <w:sz w:val="24"/>
                <w:szCs w:val="24"/>
                <w:lang w:val="en-AU"/>
              </w:rPr>
            </w:pPr>
            <w:r>
              <w:rPr>
                <w:rFonts w:cs="Arial"/>
                <w:sz w:val="24"/>
                <w:szCs w:val="24"/>
                <w:lang w:val="en-AU"/>
              </w:rPr>
              <w:t>1/15</w:t>
            </w:r>
          </w:p>
        </w:tc>
      </w:tr>
      <w:tr w:rsidR="009F1BD1" w:rsidRPr="004D53AB" w:rsidTr="009F1BD1">
        <w:trPr>
          <w:cantSplit/>
          <w:trHeight w:val="471"/>
        </w:trPr>
        <w:tc>
          <w:tcPr>
            <w:tcW w:w="1868" w:type="dxa"/>
            <w:tcBorders>
              <w:top w:val="single" w:sz="4" w:space="0" w:color="C0C0C0"/>
              <w:left w:val="single" w:sz="4" w:space="0" w:color="C0C0C0"/>
              <w:bottom w:val="single" w:sz="4" w:space="0" w:color="C0C0C0"/>
              <w:right w:val="single" w:sz="4" w:space="0" w:color="C0C0C0"/>
            </w:tcBorders>
            <w:vAlign w:val="center"/>
          </w:tcPr>
          <w:p w:rsidR="009F1BD1" w:rsidRPr="006554C1" w:rsidRDefault="009F1BD1" w:rsidP="009F1BD1">
            <w:pPr>
              <w:jc w:val="left"/>
              <w:rPr>
                <w:rFonts w:cs="Arial"/>
                <w:szCs w:val="24"/>
                <w:lang w:val="en-AU"/>
              </w:rPr>
            </w:pPr>
            <w:r>
              <w:rPr>
                <w:rFonts w:cs="Arial"/>
                <w:b/>
                <w:lang w:val="en-AU"/>
              </w:rPr>
              <w:t>PR</w:t>
            </w:r>
            <w:r w:rsidRPr="00450362">
              <w:rPr>
                <w:rFonts w:cs="Arial"/>
                <w:b/>
                <w:lang w:val="en-AU"/>
              </w:rPr>
              <w:t xml:space="preserve"> and DSR Subcommittee</w:t>
            </w:r>
          </w:p>
        </w:tc>
        <w:tc>
          <w:tcPr>
            <w:tcW w:w="9276" w:type="dxa"/>
            <w:tcBorders>
              <w:top w:val="single" w:sz="4" w:space="0" w:color="C0C0C0"/>
              <w:left w:val="single" w:sz="4" w:space="0" w:color="C0C0C0"/>
              <w:bottom w:val="single" w:sz="4" w:space="0" w:color="C0C0C0"/>
              <w:right w:val="single" w:sz="4" w:space="0" w:color="C0C0C0"/>
            </w:tcBorders>
          </w:tcPr>
          <w:p w:rsidR="009F1BD1" w:rsidRPr="006554C1" w:rsidRDefault="009F1BD1" w:rsidP="00B301CB">
            <w:pPr>
              <w:jc w:val="left"/>
              <w:rPr>
                <w:rFonts w:cs="Arial"/>
                <w:sz w:val="24"/>
                <w:szCs w:val="24"/>
                <w:lang w:val="en-AU"/>
              </w:rPr>
            </w:pPr>
            <w:r>
              <w:rPr>
                <w:rFonts w:cs="Arial"/>
                <w:sz w:val="24"/>
                <w:szCs w:val="24"/>
                <w:lang w:val="en-AU"/>
              </w:rPr>
              <w:t xml:space="preserve">Respond to the PR and DSR subcommittee “asks” and questions/concerns in future meeting agenda’s and materials. </w:t>
            </w:r>
          </w:p>
        </w:tc>
        <w:tc>
          <w:tcPr>
            <w:tcW w:w="1327" w:type="dxa"/>
            <w:tcBorders>
              <w:top w:val="single" w:sz="4" w:space="0" w:color="C0C0C0"/>
              <w:left w:val="single" w:sz="4" w:space="0" w:color="C0C0C0"/>
              <w:bottom w:val="single" w:sz="4" w:space="0" w:color="C0C0C0"/>
              <w:right w:val="single" w:sz="4" w:space="0" w:color="C0C0C0"/>
            </w:tcBorders>
          </w:tcPr>
          <w:p w:rsidR="009F1BD1" w:rsidRPr="006554C1" w:rsidRDefault="009F1BD1" w:rsidP="00B301CB">
            <w:pPr>
              <w:jc w:val="left"/>
              <w:rPr>
                <w:rFonts w:cs="Arial"/>
                <w:sz w:val="24"/>
                <w:szCs w:val="24"/>
                <w:lang w:val="en-AU"/>
              </w:rPr>
            </w:pPr>
          </w:p>
        </w:tc>
        <w:tc>
          <w:tcPr>
            <w:tcW w:w="1175" w:type="dxa"/>
            <w:tcBorders>
              <w:top w:val="single" w:sz="4" w:space="0" w:color="C0C0C0"/>
              <w:left w:val="single" w:sz="4" w:space="0" w:color="C0C0C0"/>
              <w:bottom w:val="single" w:sz="4" w:space="0" w:color="C0C0C0"/>
              <w:right w:val="single" w:sz="4" w:space="0" w:color="C0C0C0"/>
            </w:tcBorders>
          </w:tcPr>
          <w:p w:rsidR="009F1BD1" w:rsidRPr="006554C1" w:rsidRDefault="009F1BD1" w:rsidP="00B301CB">
            <w:pPr>
              <w:jc w:val="left"/>
              <w:rPr>
                <w:rFonts w:cs="Arial"/>
                <w:sz w:val="24"/>
                <w:szCs w:val="24"/>
                <w:lang w:val="en-AU"/>
              </w:rPr>
            </w:pPr>
            <w:r>
              <w:rPr>
                <w:rFonts w:cs="Arial"/>
                <w:sz w:val="24"/>
                <w:szCs w:val="24"/>
                <w:lang w:val="en-AU"/>
              </w:rPr>
              <w:t>Katie to discuss with SIM Partners and HIN</w:t>
            </w:r>
          </w:p>
        </w:tc>
        <w:tc>
          <w:tcPr>
            <w:tcW w:w="1175" w:type="dxa"/>
            <w:tcBorders>
              <w:top w:val="single" w:sz="4" w:space="0" w:color="C0C0C0"/>
              <w:left w:val="single" w:sz="4" w:space="0" w:color="C0C0C0"/>
              <w:bottom w:val="single" w:sz="4" w:space="0" w:color="C0C0C0"/>
              <w:right w:val="single" w:sz="4" w:space="0" w:color="C0C0C0"/>
            </w:tcBorders>
          </w:tcPr>
          <w:p w:rsidR="009F1BD1" w:rsidRPr="006554C1" w:rsidRDefault="009F1BD1" w:rsidP="009F1BD1">
            <w:pPr>
              <w:jc w:val="left"/>
              <w:rPr>
                <w:rFonts w:cs="Arial"/>
                <w:sz w:val="24"/>
                <w:szCs w:val="24"/>
                <w:lang w:val="en-AU"/>
              </w:rPr>
            </w:pPr>
            <w:r>
              <w:rPr>
                <w:rFonts w:cs="Arial"/>
                <w:sz w:val="24"/>
                <w:szCs w:val="24"/>
                <w:lang w:val="en-AU"/>
              </w:rPr>
              <w:t>Update in March</w:t>
            </w:r>
          </w:p>
        </w:tc>
      </w:tr>
    </w:tbl>
    <w:p w:rsidR="008A07E3" w:rsidRPr="00F470EF" w:rsidRDefault="008A07E3" w:rsidP="009F1BD1">
      <w:pPr>
        <w:jc w:val="left"/>
        <w:rPr>
          <w:rFonts w:ascii="Arial" w:hAnsi="Arial" w:cs="Arial"/>
          <w:sz w:val="24"/>
          <w:szCs w:val="24"/>
        </w:rPr>
      </w:pPr>
    </w:p>
    <w:sectPr w:rsidR="008A07E3" w:rsidRPr="00F470EF" w:rsidSect="009F1BD1">
      <w:type w:val="continuous"/>
      <w:pgSz w:w="15840" w:h="12240" w:orient="landscape"/>
      <w:pgMar w:top="900" w:right="72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46" w:rsidRDefault="00C74646" w:rsidP="005261E9">
      <w:r>
        <w:separator/>
      </w:r>
    </w:p>
  </w:endnote>
  <w:endnote w:type="continuationSeparator" w:id="0">
    <w:p w:rsidR="00C74646" w:rsidRDefault="00C74646"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2B79BB">
      <w:rPr>
        <w:noProof/>
        <w:color w:val="808080" w:themeColor="background1" w:themeShade="80"/>
        <w:sz w:val="20"/>
        <w:szCs w:val="20"/>
      </w:rPr>
      <w:t>2</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2B79BB">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46" w:rsidRDefault="00C74646" w:rsidP="005261E9">
      <w:r>
        <w:separator/>
      </w:r>
    </w:p>
  </w:footnote>
  <w:footnote w:type="continuationSeparator" w:id="0">
    <w:p w:rsidR="00C74646" w:rsidRDefault="00C74646"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B"/>
    <w:rsid w:val="00073E14"/>
    <w:rsid w:val="00081AD2"/>
    <w:rsid w:val="00086535"/>
    <w:rsid w:val="00093C04"/>
    <w:rsid w:val="000A3105"/>
    <w:rsid w:val="000A664A"/>
    <w:rsid w:val="000B0295"/>
    <w:rsid w:val="000B3F54"/>
    <w:rsid w:val="000D222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828B7"/>
    <w:rsid w:val="001A7200"/>
    <w:rsid w:val="001A7E5D"/>
    <w:rsid w:val="001B17DC"/>
    <w:rsid w:val="001B5487"/>
    <w:rsid w:val="001C2239"/>
    <w:rsid w:val="001D6946"/>
    <w:rsid w:val="001F6FB4"/>
    <w:rsid w:val="00207B55"/>
    <w:rsid w:val="00214A97"/>
    <w:rsid w:val="00217E69"/>
    <w:rsid w:val="002243F2"/>
    <w:rsid w:val="0022745E"/>
    <w:rsid w:val="00235B69"/>
    <w:rsid w:val="00237CB3"/>
    <w:rsid w:val="0024309F"/>
    <w:rsid w:val="0024604C"/>
    <w:rsid w:val="00250CCD"/>
    <w:rsid w:val="00251854"/>
    <w:rsid w:val="00257AF3"/>
    <w:rsid w:val="00273B77"/>
    <w:rsid w:val="002748B1"/>
    <w:rsid w:val="00282531"/>
    <w:rsid w:val="00282E0A"/>
    <w:rsid w:val="00283021"/>
    <w:rsid w:val="00286629"/>
    <w:rsid w:val="002924EB"/>
    <w:rsid w:val="002B6325"/>
    <w:rsid w:val="002B70BD"/>
    <w:rsid w:val="002B79BB"/>
    <w:rsid w:val="002C2DD3"/>
    <w:rsid w:val="002C2FBA"/>
    <w:rsid w:val="002C7742"/>
    <w:rsid w:val="002D0658"/>
    <w:rsid w:val="002D5DEA"/>
    <w:rsid w:val="002D664C"/>
    <w:rsid w:val="002E4357"/>
    <w:rsid w:val="002E45B1"/>
    <w:rsid w:val="002F4AEB"/>
    <w:rsid w:val="00302696"/>
    <w:rsid w:val="003128FE"/>
    <w:rsid w:val="00324CF3"/>
    <w:rsid w:val="0032502E"/>
    <w:rsid w:val="0033176A"/>
    <w:rsid w:val="0033286A"/>
    <w:rsid w:val="0035442F"/>
    <w:rsid w:val="00362684"/>
    <w:rsid w:val="0036506D"/>
    <w:rsid w:val="00373A02"/>
    <w:rsid w:val="00377C6E"/>
    <w:rsid w:val="003B3A33"/>
    <w:rsid w:val="003C1F65"/>
    <w:rsid w:val="003C3747"/>
    <w:rsid w:val="003D6F76"/>
    <w:rsid w:val="003E0D8E"/>
    <w:rsid w:val="003E2AC7"/>
    <w:rsid w:val="003E6849"/>
    <w:rsid w:val="003F0DC9"/>
    <w:rsid w:val="00405196"/>
    <w:rsid w:val="00412850"/>
    <w:rsid w:val="00420ED3"/>
    <w:rsid w:val="004279FF"/>
    <w:rsid w:val="00433EB8"/>
    <w:rsid w:val="0043502A"/>
    <w:rsid w:val="0044521E"/>
    <w:rsid w:val="00456CF4"/>
    <w:rsid w:val="0046623E"/>
    <w:rsid w:val="004776A0"/>
    <w:rsid w:val="00485155"/>
    <w:rsid w:val="00496871"/>
    <w:rsid w:val="004A6BC9"/>
    <w:rsid w:val="004C7326"/>
    <w:rsid w:val="004D0A28"/>
    <w:rsid w:val="004D53AB"/>
    <w:rsid w:val="004E593A"/>
    <w:rsid w:val="004F0AC7"/>
    <w:rsid w:val="004F4DE4"/>
    <w:rsid w:val="004F505A"/>
    <w:rsid w:val="005103D7"/>
    <w:rsid w:val="00512BE1"/>
    <w:rsid w:val="005171A9"/>
    <w:rsid w:val="0052440D"/>
    <w:rsid w:val="005261E9"/>
    <w:rsid w:val="0052760A"/>
    <w:rsid w:val="00532B24"/>
    <w:rsid w:val="005419CE"/>
    <w:rsid w:val="00541C44"/>
    <w:rsid w:val="005533A8"/>
    <w:rsid w:val="005568EC"/>
    <w:rsid w:val="00564B5C"/>
    <w:rsid w:val="00566A38"/>
    <w:rsid w:val="0057068A"/>
    <w:rsid w:val="00572012"/>
    <w:rsid w:val="00574A36"/>
    <w:rsid w:val="005764ED"/>
    <w:rsid w:val="00576891"/>
    <w:rsid w:val="005800E4"/>
    <w:rsid w:val="00591948"/>
    <w:rsid w:val="005930A0"/>
    <w:rsid w:val="005972F3"/>
    <w:rsid w:val="005A20A4"/>
    <w:rsid w:val="005A4406"/>
    <w:rsid w:val="005C03E8"/>
    <w:rsid w:val="005C2BA9"/>
    <w:rsid w:val="005C32A2"/>
    <w:rsid w:val="005C6CC2"/>
    <w:rsid w:val="005C6D82"/>
    <w:rsid w:val="005E1A10"/>
    <w:rsid w:val="005F379B"/>
    <w:rsid w:val="005F3ED1"/>
    <w:rsid w:val="005F5668"/>
    <w:rsid w:val="005F674F"/>
    <w:rsid w:val="00600A39"/>
    <w:rsid w:val="00604980"/>
    <w:rsid w:val="00605991"/>
    <w:rsid w:val="00605B60"/>
    <w:rsid w:val="00616E1E"/>
    <w:rsid w:val="0063630E"/>
    <w:rsid w:val="006379DA"/>
    <w:rsid w:val="006444D7"/>
    <w:rsid w:val="006554C1"/>
    <w:rsid w:val="00667AC1"/>
    <w:rsid w:val="00671C49"/>
    <w:rsid w:val="006813C4"/>
    <w:rsid w:val="00683928"/>
    <w:rsid w:val="006855F8"/>
    <w:rsid w:val="0069587D"/>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65ACD"/>
    <w:rsid w:val="0077220B"/>
    <w:rsid w:val="00772268"/>
    <w:rsid w:val="00781B68"/>
    <w:rsid w:val="00783336"/>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34F9"/>
    <w:rsid w:val="008447C5"/>
    <w:rsid w:val="0085323D"/>
    <w:rsid w:val="008623EC"/>
    <w:rsid w:val="00891C68"/>
    <w:rsid w:val="008A07E3"/>
    <w:rsid w:val="008B0882"/>
    <w:rsid w:val="008B1CD7"/>
    <w:rsid w:val="008B4134"/>
    <w:rsid w:val="008D02DD"/>
    <w:rsid w:val="008E0FE6"/>
    <w:rsid w:val="008F74F2"/>
    <w:rsid w:val="00926DAC"/>
    <w:rsid w:val="009322EB"/>
    <w:rsid w:val="00933930"/>
    <w:rsid w:val="009344D1"/>
    <w:rsid w:val="00942E2B"/>
    <w:rsid w:val="0094434A"/>
    <w:rsid w:val="009539B2"/>
    <w:rsid w:val="009560D6"/>
    <w:rsid w:val="009730F0"/>
    <w:rsid w:val="00981AED"/>
    <w:rsid w:val="009821E5"/>
    <w:rsid w:val="00990D1F"/>
    <w:rsid w:val="009923E9"/>
    <w:rsid w:val="009955C5"/>
    <w:rsid w:val="009A1EF4"/>
    <w:rsid w:val="009A2822"/>
    <w:rsid w:val="009B3346"/>
    <w:rsid w:val="009D5BB6"/>
    <w:rsid w:val="009D7AA8"/>
    <w:rsid w:val="009E1125"/>
    <w:rsid w:val="009E32ED"/>
    <w:rsid w:val="009E78DC"/>
    <w:rsid w:val="009E7FF6"/>
    <w:rsid w:val="009F1BD1"/>
    <w:rsid w:val="009F1D31"/>
    <w:rsid w:val="009F2BD1"/>
    <w:rsid w:val="00A15F9D"/>
    <w:rsid w:val="00A3144A"/>
    <w:rsid w:val="00A335D5"/>
    <w:rsid w:val="00A37FAD"/>
    <w:rsid w:val="00A44F0C"/>
    <w:rsid w:val="00A4641F"/>
    <w:rsid w:val="00A6067C"/>
    <w:rsid w:val="00A6246E"/>
    <w:rsid w:val="00A67D08"/>
    <w:rsid w:val="00A70DBF"/>
    <w:rsid w:val="00A70F04"/>
    <w:rsid w:val="00A71DF1"/>
    <w:rsid w:val="00A72713"/>
    <w:rsid w:val="00A86873"/>
    <w:rsid w:val="00A92CBB"/>
    <w:rsid w:val="00A9678A"/>
    <w:rsid w:val="00AA1F9E"/>
    <w:rsid w:val="00AA53E1"/>
    <w:rsid w:val="00AA7A3F"/>
    <w:rsid w:val="00AB03ED"/>
    <w:rsid w:val="00AB0B15"/>
    <w:rsid w:val="00AB7558"/>
    <w:rsid w:val="00AC0CE5"/>
    <w:rsid w:val="00AC2CB9"/>
    <w:rsid w:val="00AC7353"/>
    <w:rsid w:val="00AD7444"/>
    <w:rsid w:val="00AE05D2"/>
    <w:rsid w:val="00AE5F30"/>
    <w:rsid w:val="00AE74A7"/>
    <w:rsid w:val="00AF2735"/>
    <w:rsid w:val="00B00402"/>
    <w:rsid w:val="00B1500A"/>
    <w:rsid w:val="00B16193"/>
    <w:rsid w:val="00B2323B"/>
    <w:rsid w:val="00B27EF0"/>
    <w:rsid w:val="00B37255"/>
    <w:rsid w:val="00B4414E"/>
    <w:rsid w:val="00B50A92"/>
    <w:rsid w:val="00B55426"/>
    <w:rsid w:val="00B56216"/>
    <w:rsid w:val="00B57A9B"/>
    <w:rsid w:val="00B71FCD"/>
    <w:rsid w:val="00B75CC9"/>
    <w:rsid w:val="00B7641E"/>
    <w:rsid w:val="00B76C72"/>
    <w:rsid w:val="00B84CEB"/>
    <w:rsid w:val="00B91424"/>
    <w:rsid w:val="00BA716E"/>
    <w:rsid w:val="00BB4447"/>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5154B"/>
    <w:rsid w:val="00C5383C"/>
    <w:rsid w:val="00C5420C"/>
    <w:rsid w:val="00C60698"/>
    <w:rsid w:val="00C60DD0"/>
    <w:rsid w:val="00C66B4E"/>
    <w:rsid w:val="00C67E53"/>
    <w:rsid w:val="00C72CB7"/>
    <w:rsid w:val="00C74646"/>
    <w:rsid w:val="00C85238"/>
    <w:rsid w:val="00CA785A"/>
    <w:rsid w:val="00CB0FCC"/>
    <w:rsid w:val="00CB3767"/>
    <w:rsid w:val="00CC1F2A"/>
    <w:rsid w:val="00CC5004"/>
    <w:rsid w:val="00CD1E3B"/>
    <w:rsid w:val="00CD22D2"/>
    <w:rsid w:val="00CF6EF2"/>
    <w:rsid w:val="00D00D15"/>
    <w:rsid w:val="00D11570"/>
    <w:rsid w:val="00D16513"/>
    <w:rsid w:val="00D20057"/>
    <w:rsid w:val="00D243A2"/>
    <w:rsid w:val="00D26692"/>
    <w:rsid w:val="00D33C69"/>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B74F5"/>
    <w:rsid w:val="00DC1678"/>
    <w:rsid w:val="00DD164D"/>
    <w:rsid w:val="00DD2B6B"/>
    <w:rsid w:val="00DD61CA"/>
    <w:rsid w:val="00DD63B1"/>
    <w:rsid w:val="00DE7656"/>
    <w:rsid w:val="00DF0426"/>
    <w:rsid w:val="00DF3F66"/>
    <w:rsid w:val="00DF4F90"/>
    <w:rsid w:val="00E0433A"/>
    <w:rsid w:val="00E10F9A"/>
    <w:rsid w:val="00E16FAD"/>
    <w:rsid w:val="00E22D25"/>
    <w:rsid w:val="00E2772A"/>
    <w:rsid w:val="00E27DCF"/>
    <w:rsid w:val="00E6028A"/>
    <w:rsid w:val="00E65FB7"/>
    <w:rsid w:val="00E75F2C"/>
    <w:rsid w:val="00E82E95"/>
    <w:rsid w:val="00E844DE"/>
    <w:rsid w:val="00E87349"/>
    <w:rsid w:val="00E93629"/>
    <w:rsid w:val="00E95CFE"/>
    <w:rsid w:val="00EA19D4"/>
    <w:rsid w:val="00EB5D6A"/>
    <w:rsid w:val="00EC2CBE"/>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206F"/>
    <w:rsid w:val="00F64707"/>
    <w:rsid w:val="00F70E4E"/>
    <w:rsid w:val="00F775CE"/>
    <w:rsid w:val="00F869DE"/>
    <w:rsid w:val="00F93103"/>
    <w:rsid w:val="00F958B7"/>
    <w:rsid w:val="00F96AC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oms/sim/data-infrastructure/index.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edicare.gov/hospitalcompare/search.html?AspxAutoDetectCookieSupport=1" TargetMode="External"/><Relationship Id="rId10" Type="http://schemas.openxmlformats.org/officeDocument/2006/relationships/hyperlink" Target="mailto:ksendze@hinfonet.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etbetter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D39F-19FF-4F3F-BB86-E905C5B7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6</cp:revision>
  <cp:lastPrinted>2013-11-01T13:06:00Z</cp:lastPrinted>
  <dcterms:created xsi:type="dcterms:W3CDTF">2014-01-09T20:55:00Z</dcterms:created>
  <dcterms:modified xsi:type="dcterms:W3CDTF">2014-03-18T15:22:00Z</dcterms:modified>
</cp:coreProperties>
</file>